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431B9" w14:textId="448D8490" w:rsidR="004B50AA" w:rsidRDefault="004B50AA" w:rsidP="00C67253">
      <w:pPr>
        <w:pStyle w:val="Normal"/>
        <w:tabs>
          <w:tab w:val="left" w:pos="4025"/>
          <w:tab w:val="left" w:pos="10206"/>
          <w:tab w:val="left" w:pos="11340"/>
          <w:tab w:val="left" w:pos="12474"/>
          <w:tab w:val="left" w:pos="13608"/>
          <w:tab w:val="left" w:pos="14742"/>
          <w:tab w:val="left" w:pos="15876"/>
        </w:tabs>
        <w:ind w:right="1870"/>
        <w:rPr>
          <w:b/>
          <w:bCs/>
          <w:sz w:val="28"/>
          <w:szCs w:val="28"/>
        </w:rPr>
      </w:pPr>
      <w:bookmarkStart w:id="0" w:name="_GoBack"/>
      <w:bookmarkEnd w:id="0"/>
      <w:r>
        <w:rPr>
          <w:b/>
          <w:bCs/>
          <w:sz w:val="28"/>
          <w:szCs w:val="28"/>
        </w:rPr>
        <w:t>Textes pour appels d’offres</w:t>
      </w:r>
    </w:p>
    <w:p w14:paraId="77E42D64" w14:textId="77777777" w:rsidR="004B50AA" w:rsidRDefault="004B50AA" w:rsidP="00C67253">
      <w:pPr>
        <w:pStyle w:val="Normal"/>
        <w:tabs>
          <w:tab w:val="left" w:pos="4025"/>
          <w:tab w:val="left" w:pos="10206"/>
          <w:tab w:val="left" w:pos="11340"/>
          <w:tab w:val="left" w:pos="12474"/>
          <w:tab w:val="left" w:pos="13608"/>
          <w:tab w:val="left" w:pos="14742"/>
          <w:tab w:val="left" w:pos="15876"/>
        </w:tabs>
        <w:ind w:right="1870"/>
        <w:rPr>
          <w:sz w:val="22"/>
          <w:szCs w:val="22"/>
        </w:rPr>
      </w:pPr>
      <w:r>
        <w:rPr>
          <w:sz w:val="20"/>
          <w:szCs w:val="20"/>
        </w:rPr>
        <w:t>Toitures et façades PREFA 2018-06</w:t>
      </w:r>
    </w:p>
    <w:p w14:paraId="07AE5576" w14:textId="77777777" w:rsidR="00C67253" w:rsidRDefault="00C67253" w:rsidP="00C67253">
      <w:pPr>
        <w:pStyle w:val="Normal"/>
        <w:tabs>
          <w:tab w:val="left" w:pos="4025"/>
          <w:tab w:val="left" w:pos="10206"/>
          <w:tab w:val="left" w:pos="11340"/>
          <w:tab w:val="left" w:pos="12474"/>
          <w:tab w:val="left" w:pos="13608"/>
          <w:tab w:val="left" w:pos="14742"/>
          <w:tab w:val="left" w:pos="15876"/>
        </w:tabs>
        <w:ind w:right="1870"/>
        <w:rPr>
          <w:sz w:val="22"/>
          <w:szCs w:val="22"/>
          <w:lang w:eastAsia="x-none"/>
        </w:rPr>
      </w:pPr>
    </w:p>
    <w:p w14:paraId="4611345B"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1D12728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7BFAAD5"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Titre 02:06 Losange de façade 44 × 44</w:t>
      </w:r>
    </w:p>
    <w:p w14:paraId="3F09A3C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DC6FB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6B7A82F"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REMARQUES PRÉLIMINAIRES GÉNÉRALES</w:t>
      </w:r>
    </w:p>
    <w:p w14:paraId="7EBBFD18"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b/>
          <w:bCs/>
          <w:sz w:val="20"/>
          <w:szCs w:val="20"/>
        </w:rPr>
      </w:pPr>
      <w:r>
        <w:rPr>
          <w:rFonts w:ascii="Arial" w:hAnsi="Arial"/>
          <w:b/>
          <w:bCs/>
          <w:sz w:val="20"/>
          <w:szCs w:val="20"/>
        </w:rPr>
        <w:t>Auteur :</w:t>
      </w:r>
    </w:p>
    <w:p w14:paraId="0CE982D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754C8AED" w14:textId="77777777" w:rsidR="00C67253"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szCs w:val="20"/>
        </w:rPr>
      </w:pPr>
      <w:r>
        <w:rPr>
          <w:rFonts w:ascii="Arial" w:hAnsi="Arial"/>
          <w:sz w:val="20"/>
          <w:szCs w:val="20"/>
        </w:rPr>
        <w:t>PREFA Aluminiumprodukte GmbH</w:t>
      </w:r>
    </w:p>
    <w:p w14:paraId="147AA1BB"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rPr>
      </w:pPr>
      <w:r>
        <w:rPr>
          <w:rFonts w:ascii="Arial" w:hAnsi="Arial"/>
          <w:sz w:val="20"/>
          <w:szCs w:val="20"/>
        </w:rPr>
        <w:t>3182 Marktl/Lilienfeld</w:t>
      </w:r>
    </w:p>
    <w:p w14:paraId="3F9B51AF"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sz w:val="20"/>
          <w:lang w:val="x-none" w:eastAsia="x-none"/>
        </w:rPr>
      </w:pPr>
    </w:p>
    <w:p w14:paraId="44997CBE" w14:textId="77777777"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sz w:val="20"/>
          <w:szCs w:val="20"/>
        </w:rPr>
      </w:pPr>
      <w:r>
        <w:rPr>
          <w:rFonts w:ascii="Arial" w:hAnsi="Arial"/>
          <w:sz w:val="20"/>
          <w:szCs w:val="20"/>
        </w:rPr>
        <w:t>Dernière modification : le 13/07/2017</w:t>
      </w:r>
    </w:p>
    <w:p w14:paraId="4F535A84"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Les prestations décrites doivent être exécutées en conformité avec les instructions de pose et de montage de PREFA Aluminiumprodukte GmbH, ainsi qu’avec les réglementations, règles professionnelles et normes nationales en vigueur.</w:t>
      </w:r>
    </w:p>
    <w:p w14:paraId="4BC45D75"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74233BC"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Le cahier des charges ci-après a été établi sur la base des documents suivants :</w:t>
      </w:r>
    </w:p>
    <w:p w14:paraId="51C7922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03EE0B8"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73FEB0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2A2852DF"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67FFFAFE"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624CD523" w14:textId="77777777" w:rsidR="004B50AA" w:rsidRPr="003C6144" w:rsidRDefault="004B50AA" w:rsidP="00C67253">
      <w:pPr>
        <w:widowControl w:val="0"/>
        <w:numPr>
          <w:ilvl w:val="0"/>
          <w:numId w:val="1"/>
        </w:numPr>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w:t>
      </w:r>
    </w:p>
    <w:p w14:paraId="38998B03"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7576D01F" w14:textId="3A69DF04"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Le présent cahier des charges s’appuie sur les plans mis à notre disposition tout en respectant les règles techniques générales actuellement en vigueur. Le soumissionnaire se doit d’examiner la faisabilité de chaque point du cahier des charges. Les quantités indiquées doivent être vérifiées sur le chantier et éventuellement modifiées.</w:t>
      </w:r>
    </w:p>
    <w:p w14:paraId="6A1B33E3" w14:textId="77777777"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Pour chaque point concerné, les chutes de matériau, les pertes de longueur au niveau des joints, tout comme le petit matériel et le matériel de fixation doivent être intégrés dans les calculs. La facturation s’effectue sur la base des mesures prises sur le site de la construction.</w:t>
      </w:r>
    </w:p>
    <w:p w14:paraId="30A28AC5" w14:textId="77777777" w:rsidR="004B50AA" w:rsidRPr="00DA56E0"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Il est fortement conseillé de visiter le site avant de soumettre toute offre.</w:t>
      </w:r>
    </w:p>
    <w:p w14:paraId="66B27258"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rPr>
      </w:pPr>
      <w:r>
        <w:rPr>
          <w:rFonts w:ascii="Arial" w:hAnsi="Arial"/>
          <w:color w:val="000000"/>
          <w:sz w:val="20"/>
          <w:szCs w:val="20"/>
        </w:rPr>
        <w:t>Cet appel d’offres ne comprend ni les échafaudages de travail, de façade et de sécurité, ni les éventuelles fermetures de voies de circulation et autorisations officielles, ni les systèmes parafoudre, annexes, balcons et avant-toits. Les études statiques et les prestations touchant à la physique du bâtiment sont à la charge du concepteur.</w:t>
      </w:r>
    </w:p>
    <w:p w14:paraId="66D97E72" w14:textId="77777777" w:rsidR="004B50AA" w:rsidRPr="003C6144" w:rsidRDefault="004B50AA" w:rsidP="00C67253">
      <w:pPr>
        <w:widowControl w:val="0"/>
        <w:tabs>
          <w:tab w:val="left" w:pos="1440"/>
          <w:tab w:val="left" w:pos="2880"/>
          <w:tab w:val="left" w:pos="4320"/>
          <w:tab w:val="left" w:pos="6480"/>
          <w:tab w:val="left" w:pos="7200"/>
          <w:tab w:val="left" w:pos="8640"/>
          <w:tab w:val="left" w:pos="10080"/>
        </w:tabs>
        <w:autoSpaceDE w:val="0"/>
        <w:autoSpaceDN w:val="0"/>
        <w:adjustRightInd w:val="0"/>
        <w:ind w:right="1870"/>
        <w:rPr>
          <w:rFonts w:ascii="Arial" w:hAnsi="Arial" w:cs="Arial"/>
          <w:color w:val="000000"/>
          <w:sz w:val="20"/>
          <w:lang w:val="x-none" w:eastAsia="x-none"/>
        </w:rPr>
      </w:pPr>
    </w:p>
    <w:p w14:paraId="40D4CB8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color w:val="000000"/>
          <w:sz w:val="20"/>
          <w:szCs w:val="20"/>
        </w:rPr>
        <w:t>La société PREFA Aluminiumprodukte GmbH ne se porte garante ni de l’exhaustivité des informations fournies aux différents points du cahier des charges pour la réalisation des prestations décrites, ni de l’exactitude des dimensions indiquées à chacun de ces points. Le concepteur est tenu de vérifier l’exactitude de toutes les indications et données et, le cas échéant, de les adapter. Ce document est mis à la disposition du concepteur (architecte ou autres) afin de l’aider à élaborer son appel d’offres et doit être considéré comme une simple prestation de conseil.</w:t>
      </w:r>
    </w:p>
    <w:p w14:paraId="3E9009E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6D7B37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0B9A18" w14:textId="782DB78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02.06.1 Habillage de façade — losange de façade 44 × 44</w:t>
      </w:r>
    </w:p>
    <w:p w14:paraId="49351D65" w14:textId="7B9218A5" w:rsidR="004B50AA" w:rsidRPr="003C6144" w:rsidRDefault="005C0DDA" w:rsidP="00C67253">
      <w:pPr>
        <w:widowControl w:val="0"/>
        <w:autoSpaceDE w:val="0"/>
        <w:autoSpaceDN w:val="0"/>
        <w:adjustRightInd w:val="0"/>
        <w:ind w:right="1870"/>
        <w:rPr>
          <w:rFonts w:ascii="Arial" w:hAnsi="Arial" w:cs="Arial"/>
          <w:sz w:val="20"/>
        </w:rPr>
      </w:pPr>
      <w:r>
        <w:rPr>
          <w:rFonts w:ascii="Arial" w:hAnsi="Arial"/>
          <w:sz w:val="20"/>
          <w:szCs w:val="20"/>
        </w:rPr>
        <w:t>Livraison et pose d’un habillage de façade en aluminium inoxydable réalisé avec des losanges de façade 44 × 44 ; comprend le matériel de fixation PREFA (fixation invisible au moyen de clous annelés, 4 par losange) ; pose réalisée sur voligeage intégral (épaisseur minimum : 24 mm). Respecter les directives de pose PREFA.</w:t>
      </w:r>
    </w:p>
    <w:p w14:paraId="15B57978"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6E01B8E6" w14:textId="54E03494"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Dimensions : 437 × 437 mm (surface de couverture)</w:t>
      </w:r>
    </w:p>
    <w:p w14:paraId="531F3442" w14:textId="746A0D5B"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(5,24 par m²)</w:t>
      </w:r>
    </w:p>
    <w:p w14:paraId="6F24A69C" w14:textId="1F88542A"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Épaisseur du matériau : 0,70 mm</w:t>
      </w:r>
    </w:p>
    <w:p w14:paraId="6C189852"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Poids : 2,6 kg/m²</w:t>
      </w:r>
    </w:p>
    <w:p w14:paraId="06986021"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Matériau : aluminium (entièrement recyclable)</w:t>
      </w:r>
    </w:p>
    <w:p w14:paraId="1EAC797A"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Alliage : EN AW-3005 conformément à la norme EN 573-3</w:t>
      </w:r>
    </w:p>
    <w:p w14:paraId="59BD0C98"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color w:val="000000"/>
          <w:sz w:val="20"/>
          <w:szCs w:val="20"/>
        </w:rPr>
        <w:t>Face avant : revêtement à chaud P.10</w:t>
      </w:r>
    </w:p>
    <w:p w14:paraId="449903CD"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Couleur : ……</w:t>
      </w:r>
    </w:p>
    <w:p w14:paraId="3D33AE7B"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(couleur standard ; cf. nuancier PREFA)</w:t>
      </w:r>
    </w:p>
    <w:p w14:paraId="02B98AD1" w14:textId="77777777" w:rsidR="00C67253"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face arrière : vernis de protection</w:t>
      </w:r>
    </w:p>
    <w:p w14:paraId="230F1725"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Finition : stucco ou lisse</w:t>
      </w:r>
    </w:p>
    <w:p w14:paraId="14F7A829" w14:textId="04A05F9D" w:rsidR="004B50AA" w:rsidRPr="00DA56E0"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Classe de réaction au feu : A1 conformément à la norme EN 13501-1</w:t>
      </w:r>
    </w:p>
    <w:p w14:paraId="7BFADC78" w14:textId="569DE968" w:rsidR="004B50AA" w:rsidRPr="00DA56E0"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Déclaration environnementale de produit selon ISO 14025 et EN 15804 : EPD-GDA-20130260-IBG1-DE</w:t>
      </w:r>
    </w:p>
    <w:p w14:paraId="61E8F4E8" w14:textId="5B2AD221" w:rsidR="004B50AA" w:rsidRPr="00DA56E0" w:rsidRDefault="004B50AA" w:rsidP="00C67253">
      <w:pPr>
        <w:widowControl w:val="0"/>
        <w:autoSpaceDE w:val="0"/>
        <w:autoSpaceDN w:val="0"/>
        <w:adjustRightInd w:val="0"/>
        <w:ind w:right="1870"/>
        <w:rPr>
          <w:rFonts w:ascii="Arial" w:eastAsia="Times New Roman" w:hAnsi="Arial" w:cs="Arial"/>
          <w:color w:val="000000"/>
          <w:sz w:val="20"/>
          <w:szCs w:val="20"/>
        </w:rPr>
      </w:pPr>
      <w:r>
        <w:rPr>
          <w:rFonts w:ascii="Arial" w:hAnsi="Arial"/>
          <w:color w:val="000000"/>
          <w:sz w:val="20"/>
          <w:szCs w:val="20"/>
        </w:rPr>
        <w:t>Durée de vie de référence conformément à la déclaration environnementale de produit : ≥ 70 ans</w:t>
      </w:r>
    </w:p>
    <w:p w14:paraId="4108584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304AA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FACC9D9"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m²</w:t>
      </w:r>
      <w:r>
        <w:rPr>
          <w:rFonts w:ascii="Arial" w:hAnsi="Arial"/>
          <w:sz w:val="20"/>
          <w:szCs w:val="20"/>
        </w:rPr>
        <w:tab/>
        <w:t>PU _____________  PT _____________</w:t>
      </w:r>
    </w:p>
    <w:p w14:paraId="52C87A4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008A82C"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72895C6" w14:textId="112E2D0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02.06.2 Supplément appliqué au produit principal pour demi-losanges de départ (losanges de façade 44 × 44)</w:t>
      </w:r>
    </w:p>
    <w:p w14:paraId="0B069517" w14:textId="32EA4446"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départ pour les losanges de façade 44 × 44 ; pour la mise en œuvre des avant-toits et de tous les raccordements réalisés au niveau des avant-toits (fenêtres par ex.) ; 1,48 élément par mètre ; matériel de fixation PREFA inclus (1 clou annelé par losange de façade). Respecter les directives de pose PREFA.</w:t>
      </w:r>
    </w:p>
    <w:p w14:paraId="169243C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3E505B"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59D759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4B52D7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159D5777" w14:textId="316889CE"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02.06.3 Supplément appliqué au produit principal pour demi-losanges de fin (losanges de façade 44 × 44)</w:t>
      </w:r>
    </w:p>
    <w:p w14:paraId="50313D08" w14:textId="79A1A8B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demi-losanges de fin pour les losanges de façade 44 × 44 ; pour la mise en œuvre des faîtages et de tous les raccordements réalisés au niveau des faîtages (par ex. raccordement supérieur, fenêtre, etc.) ; 1,48 élément par mètre ; matériel de fixation PREFA inclus. Respecter les directives de pose PREFA.</w:t>
      </w:r>
    </w:p>
    <w:p w14:paraId="0BFF3CB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59C90608"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FF93AA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674CA330"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21D45F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02.06.4 Bande de départ</w:t>
      </w:r>
    </w:p>
    <w:p w14:paraId="38114921"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de départ PREFA (avec repère) ; comprend le matériel de fixation et l’ajustage à l’habillage de façade PREFA. Respecter les directives de pose PREFA.</w:t>
      </w:r>
    </w:p>
    <w:p w14:paraId="0A2F4645"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2A76FED" w14:textId="6153F166"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 1 800 × 158 mm</w:t>
      </w:r>
    </w:p>
    <w:p w14:paraId="7C7DAD09" w14:textId="20825925"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 mm</w:t>
      </w:r>
    </w:p>
    <w:p w14:paraId="7C643F9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2CE8272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132A58F"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F06471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5EE2765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E346AB" w14:textId="224FB889"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02.06.5 Raccordement inférieur des losanges de façade PREFA</w:t>
      </w:r>
    </w:p>
    <w:p w14:paraId="1A1ADE26"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du raccordement inférieur ; avec matériel de fixation et ajustage à l’habillage de façade.</w:t>
      </w:r>
    </w:p>
    <w:p w14:paraId="13C90AFC"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2B71B59"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5A0E8D7"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69117331"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Couleur : identique au produit principal</w:t>
      </w:r>
    </w:p>
    <w:p w14:paraId="5D7D1F0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41B3B0A"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Bande de recouvrement :</w:t>
      </w:r>
    </w:p>
    <w:p w14:paraId="43B4A1A9" w14:textId="53306094"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03AA9EA0" w14:textId="5501B19B"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Pliure : … mm</w:t>
      </w:r>
    </w:p>
    <w:p w14:paraId="43940584"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20A464EF"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Profil de jonction :</w:t>
      </w:r>
    </w:p>
    <w:p w14:paraId="5DC0DF57" w14:textId="5ED37B3A"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4B45077D" w14:textId="39424CDC"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323D1C0E" w14:textId="6DC0FF44"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6D6A1029"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18FAF540"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E9F519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109262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7099763" w14:textId="7C621B21"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02.06.6 Profil replié</w:t>
      </w:r>
    </w:p>
    <w:p w14:paraId="16017620"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profils repliés pour les raccordements de couloir et les raccordements supérieurs ; comprend le matériel de fixation, le mastic d’étanchéité ainsi que l’ajustage à l’habillage de façade PREFA.</w:t>
      </w:r>
    </w:p>
    <w:p w14:paraId="511D7633"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24C74CA" w14:textId="35AF3EEC"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jusqu’à 150 mm</w:t>
      </w:r>
    </w:p>
    <w:p w14:paraId="7A2969A8" w14:textId="649F70C2"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21C75109"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Couleur : identique au produit principal</w:t>
      </w:r>
    </w:p>
    <w:p w14:paraId="767C9B9C"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56AAB9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08461D9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4E92FBA"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0D8A334"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F9B0F3"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3061074"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02.06.7 Renvoi d’eau PREFA</w:t>
      </w:r>
    </w:p>
    <w:p w14:paraId="0AB1FDA2"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Livraison et pose de renvois d’eau PREFA pour le raccordement inférieur ; séparation horizontale ou raccordement supérieur de fenêtre. Comprend le matériel de fixation. les profils de liaison et l’ajustage à l’habillage de la façade.</w:t>
      </w:r>
    </w:p>
    <w:p w14:paraId="695BF69E"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08110DE4" w14:textId="6B3A5893"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120 mm</w:t>
      </w:r>
    </w:p>
    <w:p w14:paraId="114E90A3" w14:textId="7B9925CE"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3 pc.</w:t>
      </w:r>
    </w:p>
    <w:p w14:paraId="0E0F8885" w14:textId="208D8995"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Longueur : 2 500 mm</w:t>
      </w:r>
    </w:p>
    <w:p w14:paraId="04F51EDA"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4AAD3E14"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3335789"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13B20D8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0BE6131"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2A36A8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23A425D"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3010BFA7" w14:textId="532B4C9F"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02.06.8 Mise en œuvre d’angles — angles sortants et rentrants (deux éléments)</w:t>
      </w:r>
    </w:p>
    <w:p w14:paraId="0D9549A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(deux éléments) ; comprend le matériel de fixation et l’ajustage à l’habillage de façade PREFA.</w:t>
      </w:r>
    </w:p>
    <w:p w14:paraId="3337594B"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6D6972FA" w14:textId="19FB5A44"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250 mm</w:t>
      </w:r>
    </w:p>
    <w:p w14:paraId="016CCDC5" w14:textId="3581ABF8"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8 pc.</w:t>
      </w:r>
    </w:p>
    <w:p w14:paraId="461EB63D" w14:textId="08CE9012"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23421A6E"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identique au produit principal</w:t>
      </w:r>
    </w:p>
    <w:p w14:paraId="39FCABDA"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D59A562"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632A7C9D"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FFB6EF8"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BDD1B6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0C71FDD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C23E166" w14:textId="6524DDBD"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02.06.9 Mise en œuvre d’angles — angles sortants et rentrants (trois éléments)</w:t>
      </w:r>
    </w:p>
    <w:p w14:paraId="578AB3AF"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d’angles sortants et rentrants (trois éléments) ; comprend le matériel de fixation et l’ajustage à l’habillage de façade PREFA.</w:t>
      </w:r>
    </w:p>
    <w:p w14:paraId="7F1C3229"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7BD5D2E" w14:textId="2AA3F30A"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totale : jusqu’à 450 mm</w:t>
      </w:r>
    </w:p>
    <w:p w14:paraId="36ACAB84" w14:textId="37A04D41"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jusqu’à 9 pc.</w:t>
      </w:r>
    </w:p>
    <w:p w14:paraId="193CBFE5"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4A9A7EF8"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2405D493"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Couleur : identique au produit principal</w:t>
      </w:r>
    </w:p>
    <w:p w14:paraId="0EB8D523"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63D54900"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085E621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7E4CA38"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F2E87FC" w14:textId="1DD0B1F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02.06.10 Raccordement vertical (embrasure) pour portes et fenêtres (réalisé à partir de bandes complémentaires PREFA)</w:t>
      </w:r>
    </w:p>
    <w:p w14:paraId="0723868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au linteau et à la tablette de la fenêtre. Il est important de s’assurer que l’isolation thermique est ajustée et fixée correctement au dormant.</w:t>
      </w:r>
    </w:p>
    <w:p w14:paraId="78EC6A17"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20AEE307"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Embrasure :</w:t>
      </w:r>
    </w:p>
    <w:p w14:paraId="704841F5" w14:textId="5E39C6D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1F17399C" w14:textId="427E85D3"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5909D4D6"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6936F44D"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7C4710A6"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4D56B8F9"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13030E4A"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7747DA96" w14:textId="0AAE956A"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1A99A50E" w14:textId="6E004889"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135DC79B" w14:textId="06702DE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0FBF3DA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36AD2049"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ABC6A9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951BCB5"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6FC138C7" w14:textId="7210E11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br w:type="page"/>
      </w:r>
      <w:r>
        <w:rPr>
          <w:rFonts w:ascii="Arial" w:hAnsi="Arial"/>
          <w:b/>
          <w:bCs/>
          <w:sz w:val="20"/>
          <w:szCs w:val="20"/>
        </w:rPr>
        <w:lastRenderedPageBreak/>
        <w:t>02.06.11 Raccordement horizontal (linteau) pour portes et fenêtres (réalisé à partir de bandes complémentaires PREFA)</w:t>
      </w:r>
    </w:p>
    <w:p w14:paraId="62AC2001"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Livraison et pose de raccordements horizontaux (linteau) pour portes et fenêtres ; raccordements réalisés à partir de bandes complémentaires PREFA. Comprend les structures porteuses et les constructions auxiliaires, le matériel de fixation, le mastic d’étanchéité ainsi que l’ajustage à l’habillage de façade PREFA et au tableau de la fenêtre. Il est important de s’assurer que l’isolation thermique est ajustée et fixée correctement au dormant.</w:t>
      </w:r>
    </w:p>
    <w:p w14:paraId="0054ADF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4BA3A4C4"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Linteau :</w:t>
      </w:r>
    </w:p>
    <w:p w14:paraId="5FF4D595" w14:textId="32EAB699"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 mm</w:t>
      </w:r>
    </w:p>
    <w:p w14:paraId="4EB2B04F" w14:textId="3A802401"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 pc.</w:t>
      </w:r>
    </w:p>
    <w:p w14:paraId="3822B837"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Épaisseur du matériau : identique au produit principal</w:t>
      </w:r>
    </w:p>
    <w:p w14:paraId="2701F6F1" w14:textId="77777777" w:rsidR="004B50AA" w:rsidRPr="00DA56E0" w:rsidRDefault="004B50AA" w:rsidP="00C67253">
      <w:pPr>
        <w:widowControl w:val="0"/>
        <w:autoSpaceDE w:val="0"/>
        <w:autoSpaceDN w:val="0"/>
        <w:adjustRightInd w:val="0"/>
        <w:ind w:right="1870"/>
        <w:rPr>
          <w:rFonts w:ascii="Arial" w:eastAsia="Times New Roman" w:hAnsi="Arial" w:cs="Arial"/>
          <w:sz w:val="20"/>
          <w:szCs w:val="20"/>
        </w:rPr>
      </w:pPr>
      <w:r>
        <w:rPr>
          <w:rFonts w:ascii="Arial" w:hAnsi="Arial"/>
          <w:sz w:val="20"/>
          <w:szCs w:val="20"/>
        </w:rPr>
        <w:t>Qualité du matériau : identique au produit principal</w:t>
      </w:r>
    </w:p>
    <w:p w14:paraId="116B30AE" w14:textId="77777777" w:rsidR="004B50AA" w:rsidRPr="003C6144" w:rsidRDefault="004B50AA" w:rsidP="00C67253">
      <w:pPr>
        <w:widowControl w:val="0"/>
        <w:autoSpaceDE w:val="0"/>
        <w:autoSpaceDN w:val="0"/>
        <w:adjustRightInd w:val="0"/>
        <w:ind w:right="1870"/>
        <w:rPr>
          <w:rFonts w:ascii="Arial" w:hAnsi="Arial" w:cs="Arial"/>
          <w:sz w:val="20"/>
        </w:rPr>
      </w:pPr>
      <w:r>
        <w:rPr>
          <w:rFonts w:ascii="Arial" w:hAnsi="Arial"/>
          <w:sz w:val="20"/>
          <w:szCs w:val="20"/>
        </w:rPr>
        <w:t>Couleur : identique au produit principal</w:t>
      </w:r>
    </w:p>
    <w:p w14:paraId="58372E5E" w14:textId="77777777" w:rsidR="004B50AA" w:rsidRPr="003C6144" w:rsidRDefault="004B50AA" w:rsidP="00C67253">
      <w:pPr>
        <w:widowControl w:val="0"/>
        <w:autoSpaceDE w:val="0"/>
        <w:autoSpaceDN w:val="0"/>
        <w:adjustRightInd w:val="0"/>
        <w:ind w:right="1870"/>
        <w:rPr>
          <w:rFonts w:ascii="Arial" w:hAnsi="Arial" w:cs="Arial"/>
          <w:sz w:val="20"/>
          <w:lang w:val="x-none" w:eastAsia="x-none"/>
        </w:rPr>
      </w:pPr>
    </w:p>
    <w:p w14:paraId="57FABDF7" w14:textId="7777777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Profil de jonction :</w:t>
      </w:r>
    </w:p>
    <w:p w14:paraId="49568333" w14:textId="50399557"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Dimension de coupe : 120 mm</w:t>
      </w:r>
    </w:p>
    <w:p w14:paraId="16F40689" w14:textId="3E352C25" w:rsidR="004B50AA" w:rsidRPr="00DA56E0" w:rsidRDefault="004B50AA" w:rsidP="00C67253">
      <w:pPr>
        <w:widowControl w:val="0"/>
        <w:autoSpaceDE w:val="0"/>
        <w:autoSpaceDN w:val="0"/>
        <w:adjustRightInd w:val="0"/>
        <w:ind w:right="1870"/>
        <w:rPr>
          <w:rFonts w:ascii="Arial" w:hAnsi="Arial" w:cs="Arial"/>
          <w:sz w:val="20"/>
          <w:szCs w:val="20"/>
        </w:rPr>
      </w:pPr>
      <w:r>
        <w:rPr>
          <w:rFonts w:ascii="Arial" w:hAnsi="Arial"/>
          <w:sz w:val="20"/>
          <w:szCs w:val="20"/>
        </w:rPr>
        <w:t>Pliure : 3 pc.</w:t>
      </w:r>
    </w:p>
    <w:p w14:paraId="2AAB626E" w14:textId="4BECA308"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Longueur : 2 000 mm</w:t>
      </w:r>
    </w:p>
    <w:p w14:paraId="0BEBD35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1170E49"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C8BFF6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1D105A1"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AD1BFB8" w14:textId="5D1F215B"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02.06.12 Tablettes de fenêtre réalisées à partir de bandes complémentaires</w:t>
      </w:r>
    </w:p>
    <w:p w14:paraId="2BB49B3C" w14:textId="2118D922" w:rsidR="004B50AA" w:rsidRPr="003C6144" w:rsidRDefault="00707BC4"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tablettes de fenêtre réalisées à partir de bandes complémentaires PREFA ; comprend le matériel de fixation et la réalisation des raccordements latéraux.</w:t>
      </w:r>
    </w:p>
    <w:p w14:paraId="4AB418C6"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7A2744CF"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Tablette de fenêtre :</w:t>
      </w:r>
    </w:p>
    <w:p w14:paraId="4F87B415" w14:textId="78AF0DB2"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24145F46" w14:textId="1A16AC49"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3 pc.</w:t>
      </w:r>
    </w:p>
    <w:p w14:paraId="3C97CB82"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Épaisseur du matériau : identique au produit principal</w:t>
      </w:r>
    </w:p>
    <w:p w14:paraId="26671438"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5B7F6196"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Équerre-support :</w:t>
      </w:r>
    </w:p>
    <w:p w14:paraId="40CFAF01" w14:textId="0D15A83B"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7A798856"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1 pc.</w:t>
      </w:r>
    </w:p>
    <w:p w14:paraId="23703651" w14:textId="3E0C576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1,00 mm</w:t>
      </w:r>
    </w:p>
    <w:p w14:paraId="22E08AA2"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B332E16"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157BD58A"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4ABBD6EA"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2330A94C" w14:textId="1A0CDDD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02.06.13 Couronnement d’acrotère réalisé à partir de bandes complémentaires</w:t>
      </w:r>
    </w:p>
    <w:p w14:paraId="1CDB9DBB" w14:textId="2B33F6DB"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Livraison et pose de couronnements d’acrotère réalisés à partir de bandes complémentaires PREFA ; fournis avec bandes d’accrochage (sur les deux côtés) et matériel de fixation. Chaque élément sera découpé en respectant la dimension de coupe requise ; leur longueur ne devra toutefois pas excéder 3 000 mm.</w:t>
      </w:r>
    </w:p>
    <w:p w14:paraId="303ECF99"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Types de raccordement : joint debout, pli d’accrochage, coulisseau ou support en tôle ondulée.</w:t>
      </w:r>
    </w:p>
    <w:p w14:paraId="74AEF10D"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6628312" w14:textId="28919310"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Dimension de coupe : … mm</w:t>
      </w:r>
    </w:p>
    <w:p w14:paraId="3C4B336A" w14:textId="0508C5AE" w:rsidR="004B50AA" w:rsidRPr="00DA56E0" w:rsidRDefault="004B50AA" w:rsidP="00C67253">
      <w:pPr>
        <w:widowControl w:val="0"/>
        <w:tabs>
          <w:tab w:val="left" w:pos="4536"/>
          <w:tab w:val="left" w:pos="9072"/>
          <w:tab w:val="left" w:pos="13608"/>
        </w:tabs>
        <w:autoSpaceDE w:val="0"/>
        <w:autoSpaceDN w:val="0"/>
        <w:adjustRightInd w:val="0"/>
        <w:ind w:right="1870"/>
        <w:rPr>
          <w:rFonts w:ascii="Arial" w:hAnsi="Arial" w:cs="Arial"/>
          <w:sz w:val="20"/>
          <w:szCs w:val="20"/>
        </w:rPr>
      </w:pPr>
      <w:r>
        <w:rPr>
          <w:rFonts w:ascii="Arial" w:hAnsi="Arial"/>
          <w:sz w:val="20"/>
          <w:szCs w:val="20"/>
        </w:rPr>
        <w:t>Pliure : 4 pc.</w:t>
      </w:r>
    </w:p>
    <w:p w14:paraId="2C003650"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Qualité du matériau : aluminium</w:t>
      </w:r>
    </w:p>
    <w:p w14:paraId="1F305582" w14:textId="77777777"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Alliage : AlMn1Mg0,5, H41</w:t>
      </w:r>
    </w:p>
    <w:p w14:paraId="1C4D29C8" w14:textId="325BF7AC" w:rsidR="004B50AA" w:rsidRPr="00DA56E0" w:rsidRDefault="004B50AA" w:rsidP="00C67253">
      <w:pPr>
        <w:widowControl w:val="0"/>
        <w:tabs>
          <w:tab w:val="left" w:pos="4536"/>
          <w:tab w:val="left" w:pos="9072"/>
          <w:tab w:val="left" w:pos="13608"/>
        </w:tabs>
        <w:autoSpaceDE w:val="0"/>
        <w:autoSpaceDN w:val="0"/>
        <w:adjustRightInd w:val="0"/>
        <w:ind w:right="1870"/>
        <w:rPr>
          <w:rFonts w:ascii="Arial" w:eastAsia="Times New Roman" w:hAnsi="Arial" w:cs="Arial"/>
          <w:sz w:val="20"/>
          <w:szCs w:val="20"/>
        </w:rPr>
      </w:pPr>
      <w:r>
        <w:rPr>
          <w:rFonts w:ascii="Arial" w:hAnsi="Arial"/>
          <w:sz w:val="20"/>
          <w:szCs w:val="20"/>
        </w:rPr>
        <w:t>Épaisseur du matériau : 1,00 mm</w:t>
      </w:r>
    </w:p>
    <w:p w14:paraId="5748910E"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lastRenderedPageBreak/>
        <w:t>Couleur : identique au produit principal</w:t>
      </w:r>
    </w:p>
    <w:p w14:paraId="15F1B728"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750C30AD"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6FB4510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396A229"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4D7E684" w14:textId="7F6D3DB2"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br w:type="page"/>
      </w:r>
      <w:r>
        <w:rPr>
          <w:rFonts w:ascii="Arial" w:hAnsi="Arial"/>
          <w:b/>
          <w:bCs/>
          <w:sz w:val="20"/>
          <w:szCs w:val="20"/>
        </w:rPr>
        <w:lastRenderedPageBreak/>
        <w:t>02.06.14 Réalisation de pénétrations</w:t>
      </w:r>
    </w:p>
    <w:p w14:paraId="19B35E4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rPr>
      </w:pPr>
      <w:r>
        <w:rPr>
          <w:rFonts w:ascii="Arial" w:hAnsi="Arial"/>
          <w:sz w:val="20"/>
          <w:szCs w:val="20"/>
        </w:rPr>
        <w:t>Réalisation de pénétrations pour profils porteurs (par ex. pour panneaux publicitaires, systèmes de ventilation, etc.) ; pénétrations réalisées dans l’habillage de façade PREFA ; comprend les structures porteuses et les constructions auxiliaires, le matériel de fixation, le mastic d’étanchéité ainsi que l’ajustage à l’habillage de façade PREFA.</w:t>
      </w:r>
    </w:p>
    <w:p w14:paraId="11338050" w14:textId="77777777" w:rsidR="004B50AA" w:rsidRPr="003C6144" w:rsidRDefault="004B50AA" w:rsidP="00C67253">
      <w:pPr>
        <w:widowControl w:val="0"/>
        <w:tabs>
          <w:tab w:val="left" w:pos="4536"/>
          <w:tab w:val="left" w:pos="9072"/>
          <w:tab w:val="left" w:pos="13608"/>
        </w:tabs>
        <w:autoSpaceDE w:val="0"/>
        <w:autoSpaceDN w:val="0"/>
        <w:adjustRightInd w:val="0"/>
        <w:ind w:right="1870"/>
        <w:rPr>
          <w:rFonts w:ascii="Arial" w:hAnsi="Arial" w:cs="Arial"/>
          <w:sz w:val="20"/>
          <w:lang w:val="x-none" w:eastAsia="x-none"/>
        </w:rPr>
      </w:pPr>
    </w:p>
    <w:p w14:paraId="7FCE4657" w14:textId="68E4F9B0"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Dimensions de l’ouverture : … × … mm</w:t>
      </w:r>
    </w:p>
    <w:p w14:paraId="276D6A2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2B8EE97C"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pc.</w:t>
      </w:r>
      <w:r>
        <w:rPr>
          <w:rFonts w:ascii="Arial" w:hAnsi="Arial"/>
          <w:sz w:val="20"/>
          <w:szCs w:val="20"/>
        </w:rPr>
        <w:tab/>
        <w:t>PU _____________  PT _____________</w:t>
      </w:r>
    </w:p>
    <w:p w14:paraId="24A0092C"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A8CAFA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723A9ABD"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b/>
          <w:bCs/>
          <w:sz w:val="20"/>
          <w:szCs w:val="20"/>
        </w:rPr>
      </w:pPr>
      <w:r>
        <w:rPr>
          <w:rFonts w:ascii="Arial" w:hAnsi="Arial"/>
          <w:b/>
          <w:bCs/>
          <w:sz w:val="20"/>
          <w:szCs w:val="20"/>
        </w:rPr>
        <w:t>02.06.15 Bande d’aluminium perforée PREFA pour façades ventilées</w:t>
      </w:r>
    </w:p>
    <w:p w14:paraId="4D4F2A0A"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rPr>
      </w:pPr>
      <w:r>
        <w:rPr>
          <w:rFonts w:ascii="Arial" w:hAnsi="Arial"/>
          <w:sz w:val="20"/>
          <w:szCs w:val="20"/>
        </w:rPr>
        <w:t>Livraison et pose de bandes d’aluminium perforées (perforations circulaires) ; pour entrée et sortie d’air ; protection de la lame d’air contre les insectes et les oiseaux ; matériel de fixation compris.</w:t>
      </w:r>
    </w:p>
    <w:p w14:paraId="710C9254" w14:textId="77777777" w:rsidR="004B50AA" w:rsidRPr="003C6144"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lang w:val="x-none" w:eastAsia="x-none"/>
        </w:rPr>
      </w:pPr>
    </w:p>
    <w:p w14:paraId="0A569269" w14:textId="7EDADC25"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Dimension de coupe : … mm</w:t>
      </w:r>
    </w:p>
    <w:p w14:paraId="363B7D38"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Pliure : selon les besoins</w:t>
      </w:r>
    </w:p>
    <w:p w14:paraId="233F943A"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Matériau : aluminium</w:t>
      </w:r>
    </w:p>
    <w:p w14:paraId="59264877" w14:textId="77777777"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Alliage : EN AW-3005</w:t>
      </w:r>
    </w:p>
    <w:p w14:paraId="2CB6DD71" w14:textId="01B5DE7D"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hAnsi="Arial" w:cs="Arial"/>
          <w:sz w:val="20"/>
          <w:szCs w:val="20"/>
        </w:rPr>
      </w:pPr>
      <w:r>
        <w:rPr>
          <w:rFonts w:ascii="Arial" w:hAnsi="Arial"/>
          <w:sz w:val="20"/>
          <w:szCs w:val="20"/>
        </w:rPr>
        <w:t>Épaisseur du matériau : 0,70 mm</w:t>
      </w:r>
    </w:p>
    <w:p w14:paraId="7E59F437" w14:textId="5E403E68" w:rsidR="004B50AA" w:rsidRPr="00DA56E0" w:rsidRDefault="004B50AA" w:rsidP="00C67253">
      <w:pPr>
        <w:widowControl w:val="0"/>
        <w:tabs>
          <w:tab w:val="left" w:pos="2268"/>
          <w:tab w:val="left" w:pos="4536"/>
          <w:tab w:val="left" w:pos="6804"/>
          <w:tab w:val="left" w:pos="9072"/>
          <w:tab w:val="left" w:pos="11340"/>
          <w:tab w:val="left" w:pos="13608"/>
          <w:tab w:val="left" w:pos="15876"/>
        </w:tabs>
        <w:autoSpaceDE w:val="0"/>
        <w:autoSpaceDN w:val="0"/>
        <w:adjustRightInd w:val="0"/>
        <w:ind w:right="1870"/>
        <w:rPr>
          <w:rFonts w:ascii="Arial" w:eastAsia="Times New Roman" w:hAnsi="Arial" w:cs="Arial"/>
          <w:sz w:val="20"/>
          <w:szCs w:val="20"/>
        </w:rPr>
      </w:pPr>
      <w:r>
        <w:rPr>
          <w:rFonts w:ascii="Arial" w:hAnsi="Arial"/>
          <w:sz w:val="20"/>
          <w:szCs w:val="20"/>
        </w:rPr>
        <w:t xml:space="preserve">Perforations circulaires : </w:t>
      </w:r>
      <w:r>
        <w:rPr>
          <w:rFonts w:ascii="Menlo Regular" w:hAnsi="Menlo Regular"/>
          <w:sz w:val="20"/>
          <w:szCs w:val="20"/>
        </w:rPr>
        <w:t>⌀</w:t>
      </w:r>
      <w:r>
        <w:rPr>
          <w:rFonts w:ascii="Arial" w:hAnsi="Arial"/>
          <w:sz w:val="20"/>
          <w:szCs w:val="20"/>
        </w:rPr>
        <w:t xml:space="preserve"> 5 mm</w:t>
      </w:r>
    </w:p>
    <w:p w14:paraId="5BFADCB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41F22056"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eastAsia="Times New Roman" w:hAnsi="Arial" w:cs="Arial"/>
          <w:sz w:val="20"/>
          <w:szCs w:val="20"/>
          <w:lang w:val="x-none" w:eastAsia="x-none"/>
        </w:rPr>
      </w:pPr>
    </w:p>
    <w:p w14:paraId="00CF6481" w14:textId="77777777"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m</w:t>
      </w:r>
      <w:r>
        <w:rPr>
          <w:rFonts w:ascii="Arial" w:hAnsi="Arial"/>
          <w:sz w:val="20"/>
          <w:szCs w:val="20"/>
        </w:rPr>
        <w:tab/>
        <w:t>PU _____________  PT _____________</w:t>
      </w:r>
    </w:p>
    <w:p w14:paraId="2F4F538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1143168B"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5C48496" w14:textId="13FE5F9A"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02.06.16 Facturation en régie — Nombre d’heures d’ouvriers qualifiés</w:t>
      </w:r>
    </w:p>
    <w:p w14:paraId="6F1F4585"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d’ouvriers qualifiés</w:t>
      </w:r>
    </w:p>
    <w:p w14:paraId="1DBAEB5E"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6E425EE" w14:textId="595A891A"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198FD875"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3E6FAE6F"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5D83BF6D" w14:textId="28D4E823"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sz w:val="20"/>
          <w:szCs w:val="20"/>
        </w:rPr>
      </w:pPr>
      <w:r>
        <w:rPr>
          <w:rFonts w:ascii="Arial" w:hAnsi="Arial"/>
          <w:b/>
          <w:bCs/>
          <w:sz w:val="20"/>
          <w:szCs w:val="20"/>
        </w:rPr>
        <w:t>02.06.17 Facturation en régie — Nombre d’heures de manœuvres</w:t>
      </w:r>
    </w:p>
    <w:p w14:paraId="2253900B" w14:textId="77777777" w:rsidR="00C67253"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sz w:val="20"/>
          <w:szCs w:val="20"/>
        </w:rPr>
        <w:t>Facturation en régie — Nombre d’heures de manœuvres</w:t>
      </w:r>
    </w:p>
    <w:p w14:paraId="7AC9A87F"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551FA50" w14:textId="003DCD5F" w:rsidR="004B50AA" w:rsidRPr="00DA56E0" w:rsidRDefault="004B50AA" w:rsidP="00B26D16">
      <w:pPr>
        <w:widowControl w:val="0"/>
        <w:tabs>
          <w:tab w:val="left" w:pos="3119"/>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rPr>
      </w:pPr>
      <w:r>
        <w:rPr>
          <w:rFonts w:ascii="Arial" w:hAnsi="Arial"/>
          <w:b/>
          <w:bCs/>
          <w:sz w:val="20"/>
          <w:szCs w:val="20"/>
        </w:rPr>
        <w:t>0,000 h</w:t>
      </w:r>
      <w:r>
        <w:rPr>
          <w:rFonts w:ascii="Arial" w:hAnsi="Arial"/>
          <w:sz w:val="20"/>
          <w:szCs w:val="20"/>
        </w:rPr>
        <w:tab/>
        <w:t>PU _____________  PT _____________</w:t>
      </w:r>
    </w:p>
    <w:p w14:paraId="54FC9160"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7861E032"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lang w:val="x-none" w:eastAsia="x-none"/>
        </w:rPr>
      </w:pPr>
    </w:p>
    <w:p w14:paraId="5DE2D393"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Titre 02:06 Losange de façade 44 × 44 PT ____________</w:t>
      </w:r>
    </w:p>
    <w:p w14:paraId="61DBA084" w14:textId="77777777" w:rsidR="004B50AA" w:rsidRPr="003C614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sz w:val="20"/>
        </w:rPr>
      </w:pPr>
      <w:r>
        <w:rPr>
          <w:rFonts w:ascii="Arial" w:hAnsi="Arial"/>
          <w:b/>
          <w:bCs/>
          <w:sz w:val="20"/>
        </w:rPr>
        <w:br w:type="page"/>
      </w:r>
      <w:r>
        <w:rPr>
          <w:rFonts w:ascii="Arial" w:hAnsi="Arial"/>
          <w:b/>
          <w:bCs/>
          <w:sz w:val="20"/>
        </w:rPr>
        <w:lastRenderedPageBreak/>
        <w:t>  </w:t>
      </w:r>
    </w:p>
    <w:p w14:paraId="41A9DA4B"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Récapitulatif</w:t>
      </w:r>
    </w:p>
    <w:p w14:paraId="2C285021" w14:textId="77777777" w:rsidR="00C67253"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szCs w:val="20"/>
          <w:lang w:val="x-none" w:eastAsia="x-none"/>
        </w:rPr>
      </w:pPr>
    </w:p>
    <w:p w14:paraId="2196D682"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rPr>
      </w:pPr>
      <w:r>
        <w:rPr>
          <w:rFonts w:ascii="Arial" w:hAnsi="Arial"/>
        </w:rPr>
        <w:t>Titre 02:06 Losange de façade 44 × 44</w:t>
      </w:r>
    </w:p>
    <w:p w14:paraId="32B00EDF" w14:textId="77777777" w:rsidR="004B50AA" w:rsidRPr="00DA56E0"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sz w:val="20"/>
          <w:szCs w:val="20"/>
        </w:rPr>
      </w:pPr>
      <w:r>
        <w:rPr>
          <w:rFonts w:ascii="Arial" w:hAnsi="Arial"/>
          <w:sz w:val="20"/>
          <w:szCs w:val="20"/>
        </w:rPr>
        <w:t>PT _____________</w:t>
      </w:r>
    </w:p>
    <w:p w14:paraId="27374C17" w14:textId="77777777" w:rsidR="00C67253" w:rsidRPr="003C6144" w:rsidRDefault="00C67253"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sz w:val="20"/>
          <w:lang w:val="x-none" w:eastAsia="x-none"/>
        </w:rPr>
      </w:pPr>
    </w:p>
    <w:p w14:paraId="0F6EE859" w14:textId="77777777" w:rsidR="00C67253"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rPr>
          <w:rFonts w:ascii="Arial" w:hAnsi="Arial" w:cs="Arial"/>
          <w:b/>
          <w:bCs/>
        </w:rPr>
      </w:pPr>
      <w:r>
        <w:rPr>
          <w:rFonts w:ascii="Arial" w:hAnsi="Arial"/>
          <w:b/>
          <w:bCs/>
        </w:rPr>
        <w:t>LV 02 Façades PREFA</w:t>
      </w:r>
    </w:p>
    <w:p w14:paraId="2CD45794" w14:textId="77777777" w:rsidR="004B50AA" w:rsidRPr="008D0A34" w:rsidRDefault="004B50AA" w:rsidP="00C67253">
      <w:pPr>
        <w:widowControl w:val="0"/>
        <w:tabs>
          <w:tab w:val="left" w:pos="4025"/>
          <w:tab w:val="left" w:pos="10206"/>
          <w:tab w:val="left" w:pos="11340"/>
          <w:tab w:val="left" w:pos="12474"/>
          <w:tab w:val="left" w:pos="13608"/>
          <w:tab w:val="left" w:pos="14742"/>
          <w:tab w:val="left" w:pos="15876"/>
        </w:tabs>
        <w:autoSpaceDE w:val="0"/>
        <w:autoSpaceDN w:val="0"/>
        <w:adjustRightInd w:val="0"/>
        <w:ind w:right="1870"/>
        <w:jc w:val="right"/>
        <w:rPr>
          <w:rFonts w:ascii="Arial" w:hAnsi="Arial" w:cs="Arial"/>
          <w:b/>
          <w:bCs/>
        </w:rPr>
      </w:pPr>
      <w:r>
        <w:rPr>
          <w:rFonts w:ascii="Arial" w:hAnsi="Arial"/>
          <w:b/>
          <w:bCs/>
        </w:rPr>
        <w:t>PT __________</w:t>
      </w:r>
    </w:p>
    <w:p w14:paraId="693099E9" w14:textId="77777777" w:rsidR="004B50AA" w:rsidRPr="003C6144" w:rsidRDefault="004B50AA" w:rsidP="00C67253">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rPr>
          <w:rFonts w:ascii="Arial" w:hAnsi="Arial" w:cs="Arial"/>
          <w:b/>
          <w:bCs/>
          <w:sz w:val="20"/>
          <w:lang w:val="x-none" w:eastAsia="x-none"/>
        </w:rPr>
      </w:pPr>
    </w:p>
    <w:p w14:paraId="088D74FC" w14:textId="77777777" w:rsidR="004B50AA" w:rsidRPr="003C6144" w:rsidRDefault="004B50AA" w:rsidP="00C67253">
      <w:pPr>
        <w:rPr>
          <w:sz w:val="20"/>
          <w:lang w:val="x-none"/>
        </w:rPr>
      </w:pPr>
    </w:p>
    <w:p w14:paraId="35CDAC42" w14:textId="77777777" w:rsidR="004B50AA" w:rsidRPr="003C6144" w:rsidRDefault="004B50AA">
      <w:pPr>
        <w:rPr>
          <w:sz w:val="20"/>
        </w:rPr>
      </w:pPr>
    </w:p>
    <w:p w14:paraId="1DBA4348" w14:textId="77777777" w:rsidR="009D5B78" w:rsidRPr="003C6144" w:rsidRDefault="009D5B78">
      <w:pPr>
        <w:rPr>
          <w:sz w:val="20"/>
        </w:rPr>
      </w:pPr>
    </w:p>
    <w:sectPr w:rsidR="009D5B78" w:rsidRPr="003C6144" w:rsidSect="00C6725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783D0" w14:textId="77777777" w:rsidR="00212B10" w:rsidRDefault="00212B10" w:rsidP="00D5549D">
      <w:r>
        <w:separator/>
      </w:r>
    </w:p>
  </w:endnote>
  <w:endnote w:type="continuationSeparator" w:id="0">
    <w:p w14:paraId="0F3051E0" w14:textId="77777777" w:rsidR="00212B10" w:rsidRDefault="00212B10" w:rsidP="00D5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pt">
    <w:panose1 w:val="00000000000000000000"/>
    <w:charset w:val="00"/>
    <w:family w:val="auto"/>
    <w:notTrueType/>
    <w:pitch w:val="variable"/>
    <w:sig w:usb0="00000003" w:usb1="00000000" w:usb2="0000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E772" w14:textId="77777777" w:rsidR="00212B10" w:rsidRPr="003C6144" w:rsidRDefault="00212B10">
    <w:pPr>
      <w:rPr>
        <w:sz w:val="20"/>
      </w:rPr>
    </w:pPr>
  </w:p>
  <w:p w14:paraId="6407E497" w14:textId="5E904E40" w:rsidR="00212B10" w:rsidRPr="003C6144" w:rsidRDefault="00212B10" w:rsidP="00C67253">
    <w:pPr>
      <w:rPr>
        <w:sz w:val="20"/>
      </w:rPr>
    </w:pPr>
    <w:r>
      <w:rPr>
        <w:sz w:val="20"/>
      </w:rPr>
      <w:t>PREFA Aluminiumprodukte GmbH</w:t>
    </w:r>
    <w:r>
      <w:rPr>
        <w:sz w:val="20"/>
      </w:rPr>
      <w:tab/>
    </w:r>
    <w:r>
      <w:rPr>
        <w:sz w:val="20"/>
      </w:rPr>
      <w:tab/>
    </w:r>
    <w:r>
      <w:rPr>
        <w:sz w:val="20"/>
      </w:rPr>
      <w:tab/>
    </w:r>
    <w:r>
      <w:rPr>
        <w:sz w:val="20"/>
      </w:rPr>
      <w:tab/>
    </w:r>
    <w:r>
      <w:rPr>
        <w:sz w:val="20"/>
      </w:rPr>
      <w:tab/>
    </w:r>
    <w:r>
      <w:rPr>
        <w:sz w:val="20"/>
      </w:rPr>
      <w:tab/>
    </w:r>
    <w:r>
      <w:rPr>
        <w:sz w:val="20"/>
      </w:rPr>
      <w:tab/>
      <w:t xml:space="preserve">page </w:t>
    </w:r>
    <w:r w:rsidRPr="003C6144">
      <w:rPr>
        <w:sz w:val="20"/>
      </w:rPr>
      <w:fldChar w:fldCharType="begin"/>
    </w:r>
    <w:r w:rsidRPr="003C6144">
      <w:rPr>
        <w:sz w:val="20"/>
      </w:rPr>
      <w:instrText xml:space="preserve"> PAGE </w:instrText>
    </w:r>
    <w:r w:rsidRPr="003C6144">
      <w:rPr>
        <w:sz w:val="20"/>
      </w:rPr>
      <w:fldChar w:fldCharType="separate"/>
    </w:r>
    <w:r w:rsidR="00716AE0">
      <w:rPr>
        <w:noProof/>
        <w:sz w:val="20"/>
      </w:rPr>
      <w:t>1</w:t>
    </w:r>
    <w:r w:rsidRPr="003C6144">
      <w:rPr>
        <w:sz w:val="20"/>
      </w:rPr>
      <w:fldChar w:fldCharType="end"/>
    </w:r>
    <w:r>
      <w:rPr>
        <w:sz w:val="20"/>
      </w:rPr>
      <w:t xml:space="preserve"> sur </w:t>
    </w:r>
    <w:r w:rsidRPr="003C6144">
      <w:rPr>
        <w:sz w:val="20"/>
      </w:rPr>
      <w:fldChar w:fldCharType="begin"/>
    </w:r>
    <w:r w:rsidRPr="003C6144">
      <w:rPr>
        <w:sz w:val="20"/>
      </w:rPr>
      <w:instrText xml:space="preserve"> NUMPAGES  </w:instrText>
    </w:r>
    <w:r w:rsidRPr="003C6144">
      <w:rPr>
        <w:sz w:val="20"/>
      </w:rPr>
      <w:fldChar w:fldCharType="separate"/>
    </w:r>
    <w:r w:rsidR="00716AE0">
      <w:rPr>
        <w:noProof/>
        <w:sz w:val="20"/>
      </w:rPr>
      <w:t>9</w:t>
    </w:r>
    <w:r w:rsidRPr="003C6144">
      <w:rPr>
        <w:sz w:val="20"/>
      </w:rPr>
      <w:fldChar w:fldCharType="end"/>
    </w:r>
  </w:p>
  <w:p w14:paraId="1DD96F71" w14:textId="77777777" w:rsidR="00212B10" w:rsidRPr="003C6144" w:rsidRDefault="00212B10" w:rsidP="00C67253">
    <w:pPr>
      <w:rPr>
        <w:sz w:val="20"/>
      </w:rPr>
    </w:pPr>
    <w:r>
      <w:rPr>
        <w:sz w:val="20"/>
      </w:rPr>
      <w:t>A-3182 Marktl/Lilienfeld (Autriche)</w:t>
    </w:r>
  </w:p>
  <w:p w14:paraId="21226E1A" w14:textId="56B7BFE6" w:rsidR="00212B10" w:rsidRDefault="00716AE0" w:rsidP="00C67253">
    <w:pPr>
      <w:pStyle w:val="Fuzeile"/>
    </w:pPr>
    <w:hyperlink r:id="rId1" w:history="1">
      <w:r w:rsidR="00212B10">
        <w:rPr>
          <w:rStyle w:val="Hyperlink"/>
          <w:color w:val="auto"/>
        </w:rPr>
        <w:t>www.prefa.com</w:t>
      </w:r>
    </w:hyperlink>
  </w:p>
  <w:p w14:paraId="3994FBD2" w14:textId="5E3E8FE0" w:rsidR="00212B10" w:rsidRPr="00A75A63" w:rsidRDefault="00212B10" w:rsidP="00C67253">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6382E" w14:textId="77777777" w:rsidR="00212B10" w:rsidRDefault="00212B10" w:rsidP="00D5549D">
      <w:r>
        <w:separator/>
      </w:r>
    </w:p>
  </w:footnote>
  <w:footnote w:type="continuationSeparator" w:id="0">
    <w:p w14:paraId="6A089520" w14:textId="77777777" w:rsidR="00212B10" w:rsidRDefault="00212B10" w:rsidP="00D55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3DC47" w14:textId="77777777" w:rsidR="00212B10" w:rsidRDefault="00212B10" w:rsidP="00C67253">
    <w:pPr>
      <w:pStyle w:val="Kopfzeile"/>
      <w:jc w:val="right"/>
    </w:pPr>
    <w:r>
      <w:tab/>
    </w:r>
    <w:r w:rsidR="00716AE0">
      <w:pict w14:anchorId="1D36D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i1025" type="#_x0000_t75" alt="Prefa Slogan+Logo.bmp" style="width:135.35pt;height:23.05pt;visibility:visible">
          <v:imagedata r:id="rId1" o:title="Prefa Slogan+Logo"/>
        </v:shape>
      </w:pict>
    </w:r>
  </w:p>
  <w:p w14:paraId="48164F55" w14:textId="77777777" w:rsidR="00212B10" w:rsidRDefault="00212B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341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rPr>
        <w:rFonts w:ascii="Symbol" w:hAnsi="Symbol" w:cs="Symbol" w:hint="default"/>
        <w:b w:val="0"/>
        <w:bCs w:val="0"/>
        <w:i w:val="0"/>
        <w:iCs w:val="0"/>
        <w:strike w:val="0"/>
        <w:color w:val="000000"/>
        <w:sz w:val="20"/>
        <w:szCs w:val="20"/>
        <w:u w:val="none"/>
      </w:rPr>
    </w:lvl>
    <w:lvl w:ilvl="1">
      <w:start w:val="1"/>
      <w:numFmt w:val="bullet"/>
      <w:lvlText w:val=""/>
      <w:lvlJc w:val="left"/>
      <w:rPr>
        <w:rFonts w:ascii="Symbol" w:hAnsi="Symbol" w:cs="Symbol" w:hint="default"/>
        <w:b w:val="0"/>
        <w:bCs w:val="0"/>
        <w:i w:val="0"/>
        <w:iCs w:val="0"/>
        <w:strike w:val="0"/>
        <w:color w:val="000000"/>
        <w:sz w:val="20"/>
        <w:szCs w:val="20"/>
        <w:u w:val="none"/>
      </w:rPr>
    </w:lvl>
    <w:lvl w:ilvl="2">
      <w:start w:val="1"/>
      <w:numFmt w:val="bullet"/>
      <w:lvlText w:val=""/>
      <w:lvlJc w:val="left"/>
      <w:rPr>
        <w:rFonts w:ascii="Symbol" w:hAnsi="Symbol" w:cs="Symbol" w:hint="default"/>
        <w:b w:val="0"/>
        <w:bCs w:val="0"/>
        <w:i w:val="0"/>
        <w:iCs w:val="0"/>
        <w:strike w:val="0"/>
        <w:color w:val="000000"/>
        <w:sz w:val="20"/>
        <w:szCs w:val="20"/>
        <w:u w:val="none"/>
      </w:rPr>
    </w:lvl>
    <w:lvl w:ilvl="3">
      <w:start w:val="1"/>
      <w:numFmt w:val="bullet"/>
      <w:lvlText w:val=""/>
      <w:lvlJc w:val="left"/>
      <w:rPr>
        <w:rFonts w:ascii="Symbol" w:hAnsi="Symbol" w:cs="Symbol" w:hint="default"/>
        <w:b w:val="0"/>
        <w:bCs w:val="0"/>
        <w:i w:val="0"/>
        <w:iCs w:val="0"/>
        <w:strike w:val="0"/>
        <w:color w:val="000000"/>
        <w:sz w:val="20"/>
        <w:szCs w:val="20"/>
        <w:u w:val="none"/>
      </w:rPr>
    </w:lvl>
    <w:lvl w:ilvl="4">
      <w:start w:val="1"/>
      <w:numFmt w:val="bullet"/>
      <w:lvlText w:val=""/>
      <w:lvlJc w:val="left"/>
      <w:rPr>
        <w:rFonts w:ascii="Symbol" w:hAnsi="Symbol" w:cs="Symbol" w:hint="default"/>
        <w:b w:val="0"/>
        <w:bCs w:val="0"/>
        <w:i w:val="0"/>
        <w:iCs w:val="0"/>
        <w:strike w:val="0"/>
        <w:color w:val="000000"/>
        <w:sz w:val="20"/>
        <w:szCs w:val="20"/>
        <w:u w:val="none"/>
      </w:rPr>
    </w:lvl>
    <w:lvl w:ilvl="5">
      <w:start w:val="1"/>
      <w:numFmt w:val="bullet"/>
      <w:lvlText w:val=""/>
      <w:lvlJc w:val="left"/>
      <w:rPr>
        <w:rFonts w:ascii="Symbol" w:hAnsi="Symbol" w:cs="Symbol" w:hint="default"/>
        <w:b w:val="0"/>
        <w:bCs w:val="0"/>
        <w:i w:val="0"/>
        <w:iCs w:val="0"/>
        <w:strike w:val="0"/>
        <w:color w:val="000000"/>
        <w:sz w:val="20"/>
        <w:szCs w:val="20"/>
        <w:u w:val="none"/>
      </w:rPr>
    </w:lvl>
    <w:lvl w:ilvl="6">
      <w:start w:val="1"/>
      <w:numFmt w:val="bullet"/>
      <w:lvlText w:val=""/>
      <w:lvlJc w:val="left"/>
      <w:rPr>
        <w:rFonts w:ascii="Symbol" w:hAnsi="Symbol" w:cs="Symbol" w:hint="default"/>
        <w:b w:val="0"/>
        <w:bCs w:val="0"/>
        <w:i w:val="0"/>
        <w:iCs w:val="0"/>
        <w:strike w:val="0"/>
        <w:color w:val="000000"/>
        <w:sz w:val="20"/>
        <w:szCs w:val="20"/>
        <w:u w:val="none"/>
      </w:rPr>
    </w:lvl>
    <w:lvl w:ilvl="7">
      <w:start w:val="1"/>
      <w:numFmt w:val="bullet"/>
      <w:lvlText w:val=""/>
      <w:lvlJc w:val="left"/>
      <w:rPr>
        <w:rFonts w:ascii="Symbol" w:hAnsi="Symbol" w:cs="Symbol" w:hint="default"/>
        <w:b w:val="0"/>
        <w:bCs w:val="0"/>
        <w:i w:val="0"/>
        <w:iCs w:val="0"/>
        <w:strike w:val="0"/>
        <w:color w:val="000000"/>
        <w:sz w:val="20"/>
        <w:szCs w:val="20"/>
        <w:u w:val="none"/>
      </w:rPr>
    </w:lvl>
    <w:lvl w:ilvl="8">
      <w:start w:val="1"/>
      <w:numFmt w:val="bullet"/>
      <w:lvlText w:val=""/>
      <w:lvlJc w:val="left"/>
      <w:rPr>
        <w:rFonts w:ascii="Symbol" w:hAnsi="Symbol" w:cs="Symbol" w:hint="default"/>
        <w:b w:val="0"/>
        <w:bCs w:val="0"/>
        <w:i w:val="0"/>
        <w:iCs w:val="0"/>
        <w:strike w:val="0"/>
        <w:color w:val="000000"/>
        <w:sz w:val="20"/>
        <w:szCs w:val="20"/>
        <w:u w:val="none"/>
      </w:rPr>
    </w:lvl>
  </w:abstractNum>
  <w:abstractNum w:abstractNumId="2" w15:restartNumberingAfterBreak="0">
    <w:nsid w:val="02DA1BA5"/>
    <w:multiLevelType w:val="hybridMultilevel"/>
    <w:tmpl w:val="8DAEC86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6B27AA"/>
    <w:multiLevelType w:val="hybridMultilevel"/>
    <w:tmpl w:val="CDFCF61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B23F5B"/>
    <w:multiLevelType w:val="hybridMultilevel"/>
    <w:tmpl w:val="AF3E62D8"/>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F67B87"/>
    <w:multiLevelType w:val="hybridMultilevel"/>
    <w:tmpl w:val="7CA092F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CD44634"/>
    <w:multiLevelType w:val="hybridMultilevel"/>
    <w:tmpl w:val="DB2263DC"/>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7B19BE"/>
    <w:multiLevelType w:val="hybridMultilevel"/>
    <w:tmpl w:val="A5D424D2"/>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264DE7"/>
    <w:multiLevelType w:val="hybridMultilevel"/>
    <w:tmpl w:val="C00E93D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A05B52"/>
    <w:multiLevelType w:val="hybridMultilevel"/>
    <w:tmpl w:val="14DED2F8"/>
    <w:lvl w:ilvl="0" w:tplc="FF54CB7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E2E1127"/>
    <w:multiLevelType w:val="hybridMultilevel"/>
    <w:tmpl w:val="80CA5F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496EAF"/>
    <w:multiLevelType w:val="hybridMultilevel"/>
    <w:tmpl w:val="44FA8B8C"/>
    <w:lvl w:ilvl="0" w:tplc="CD5CC6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19E67C8"/>
    <w:multiLevelType w:val="multilevel"/>
    <w:tmpl w:val="8006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3C6CF0"/>
    <w:multiLevelType w:val="hybridMultilevel"/>
    <w:tmpl w:val="070C9E64"/>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BB6CBD"/>
    <w:multiLevelType w:val="hybridMultilevel"/>
    <w:tmpl w:val="CB809158"/>
    <w:lvl w:ilvl="0" w:tplc="F500918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239D2"/>
    <w:multiLevelType w:val="hybridMultilevel"/>
    <w:tmpl w:val="DC5EA980"/>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8A2C33"/>
    <w:multiLevelType w:val="hybridMultilevel"/>
    <w:tmpl w:val="9DC87AC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E3294F"/>
    <w:multiLevelType w:val="hybridMultilevel"/>
    <w:tmpl w:val="D604E9F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87312D"/>
    <w:multiLevelType w:val="multilevel"/>
    <w:tmpl w:val="9A5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851697"/>
    <w:multiLevelType w:val="hybridMultilevel"/>
    <w:tmpl w:val="CDB2DE00"/>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213B51"/>
    <w:multiLevelType w:val="hybridMultilevel"/>
    <w:tmpl w:val="C1741B0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3C3FF8"/>
    <w:multiLevelType w:val="hybridMultilevel"/>
    <w:tmpl w:val="D9D8CD7C"/>
    <w:lvl w:ilvl="0" w:tplc="804ECABA">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0A0702D"/>
    <w:multiLevelType w:val="hybridMultilevel"/>
    <w:tmpl w:val="84088B80"/>
    <w:lvl w:ilvl="0" w:tplc="F4AE4B1A">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4B344A"/>
    <w:multiLevelType w:val="hybridMultilevel"/>
    <w:tmpl w:val="9456253C"/>
    <w:lvl w:ilvl="0" w:tplc="651E9834">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5AC1C7B"/>
    <w:multiLevelType w:val="hybridMultilevel"/>
    <w:tmpl w:val="F57E77A4"/>
    <w:lvl w:ilvl="0" w:tplc="9528C68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382D54"/>
    <w:multiLevelType w:val="hybridMultilevel"/>
    <w:tmpl w:val="6B3676AA"/>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956DA6"/>
    <w:multiLevelType w:val="hybridMultilevel"/>
    <w:tmpl w:val="74344916"/>
    <w:lvl w:ilvl="0" w:tplc="3B46645A">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324A36"/>
    <w:multiLevelType w:val="hybridMultilevel"/>
    <w:tmpl w:val="69205976"/>
    <w:lvl w:ilvl="0" w:tplc="F52658A6">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601703D"/>
    <w:multiLevelType w:val="multilevel"/>
    <w:tmpl w:val="575E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D273CF7"/>
    <w:multiLevelType w:val="hybridMultilevel"/>
    <w:tmpl w:val="B4C6893C"/>
    <w:lvl w:ilvl="0" w:tplc="AE44F8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E94124"/>
    <w:multiLevelType w:val="hybridMultilevel"/>
    <w:tmpl w:val="56D475E0"/>
    <w:lvl w:ilvl="0" w:tplc="183E5946">
      <w:numFmt w:val="bullet"/>
      <w:lvlText w:val="-"/>
      <w:lvlJc w:val="left"/>
      <w:pPr>
        <w:ind w:left="720" w:hanging="360"/>
      </w:pPr>
      <w:rPr>
        <w:rFonts w:ascii="Calibri" w:eastAsia="Times New Roman" w:hAnsi="Calibri" w:cs="Calibri"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916251"/>
    <w:multiLevelType w:val="hybridMultilevel"/>
    <w:tmpl w:val="038A2D96"/>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28334A"/>
    <w:multiLevelType w:val="hybridMultilevel"/>
    <w:tmpl w:val="C8F03144"/>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831806"/>
    <w:multiLevelType w:val="hybridMultilevel"/>
    <w:tmpl w:val="9B78E4EC"/>
    <w:lvl w:ilvl="0" w:tplc="3B46645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2F1425"/>
    <w:multiLevelType w:val="hybridMultilevel"/>
    <w:tmpl w:val="7570A59E"/>
    <w:lvl w:ilvl="0" w:tplc="DE5036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bullet"/>
        <w:suff w:val="space"/>
        <w:lvlText w:val=""/>
        <w:lvlJc w:val="left"/>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rPr>
          <w:rFonts w:ascii="Symbol" w:hAnsi="Symbol" w:cs="Symbol" w:hint="default"/>
          <w:b w:val="0"/>
          <w:bCs w:val="0"/>
          <w:i w:val="0"/>
          <w:iCs w:val="0"/>
          <w:strike w:val="0"/>
          <w:color w:val="000000"/>
          <w:sz w:val="20"/>
          <w:szCs w:val="20"/>
          <w:u w:val="none"/>
        </w:rPr>
      </w:lvl>
    </w:lvlOverride>
  </w:num>
  <w:num w:numId="3">
    <w:abstractNumId w:val="1"/>
  </w:num>
  <w:num w:numId="4">
    <w:abstractNumId w:val="29"/>
  </w:num>
  <w:num w:numId="5">
    <w:abstractNumId w:val="9"/>
  </w:num>
  <w:num w:numId="6">
    <w:abstractNumId w:val="0"/>
  </w:num>
  <w:num w:numId="7">
    <w:abstractNumId w:val="3"/>
  </w:num>
  <w:num w:numId="8">
    <w:abstractNumId w:val="5"/>
  </w:num>
  <w:num w:numId="9">
    <w:abstractNumId w:val="34"/>
  </w:num>
  <w:num w:numId="10">
    <w:abstractNumId w:val="8"/>
  </w:num>
  <w:num w:numId="11">
    <w:abstractNumId w:val="11"/>
  </w:num>
  <w:num w:numId="12">
    <w:abstractNumId w:val="10"/>
  </w:num>
  <w:num w:numId="13">
    <w:abstractNumId w:val="18"/>
  </w:num>
  <w:num w:numId="14">
    <w:abstractNumId w:val="23"/>
  </w:num>
  <w:num w:numId="15">
    <w:abstractNumId w:val="27"/>
  </w:num>
  <w:num w:numId="16">
    <w:abstractNumId w:val="26"/>
  </w:num>
  <w:num w:numId="17">
    <w:abstractNumId w:val="14"/>
  </w:num>
  <w:num w:numId="18">
    <w:abstractNumId w:val="15"/>
  </w:num>
  <w:num w:numId="19">
    <w:abstractNumId w:val="28"/>
  </w:num>
  <w:num w:numId="20">
    <w:abstractNumId w:val="30"/>
  </w:num>
  <w:num w:numId="21">
    <w:abstractNumId w:val="21"/>
  </w:num>
  <w:num w:numId="22">
    <w:abstractNumId w:val="6"/>
  </w:num>
  <w:num w:numId="23">
    <w:abstractNumId w:val="12"/>
  </w:num>
  <w:num w:numId="24">
    <w:abstractNumId w:val="22"/>
  </w:num>
  <w:num w:numId="25">
    <w:abstractNumId w:val="24"/>
  </w:num>
  <w:num w:numId="26">
    <w:abstractNumId w:val="19"/>
  </w:num>
  <w:num w:numId="27">
    <w:abstractNumId w:val="31"/>
  </w:num>
  <w:num w:numId="28">
    <w:abstractNumId w:val="13"/>
  </w:num>
  <w:num w:numId="29">
    <w:abstractNumId w:val="16"/>
  </w:num>
  <w:num w:numId="30">
    <w:abstractNumId w:val="25"/>
  </w:num>
  <w:num w:numId="31">
    <w:abstractNumId w:val="7"/>
  </w:num>
  <w:num w:numId="32">
    <w:abstractNumId w:val="2"/>
  </w:num>
  <w:num w:numId="33">
    <w:abstractNumId w:val="32"/>
  </w:num>
  <w:num w:numId="34">
    <w:abstractNumId w:val="4"/>
  </w:num>
  <w:num w:numId="35">
    <w:abstractNumId w:val="17"/>
  </w:num>
  <w:num w:numId="36">
    <w:abstractNumId w:val="3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AA"/>
    <w:rsid w:val="00005954"/>
    <w:rsid w:val="000575D3"/>
    <w:rsid w:val="00066857"/>
    <w:rsid w:val="00067ACA"/>
    <w:rsid w:val="0008237C"/>
    <w:rsid w:val="000C662D"/>
    <w:rsid w:val="000D75E6"/>
    <w:rsid w:val="000E5E56"/>
    <w:rsid w:val="00120688"/>
    <w:rsid w:val="0014572A"/>
    <w:rsid w:val="001526CE"/>
    <w:rsid w:val="00154385"/>
    <w:rsid w:val="0018769B"/>
    <w:rsid w:val="001A208A"/>
    <w:rsid w:val="001B3F5D"/>
    <w:rsid w:val="001F404D"/>
    <w:rsid w:val="001F52BA"/>
    <w:rsid w:val="002031C0"/>
    <w:rsid w:val="00212B10"/>
    <w:rsid w:val="00224879"/>
    <w:rsid w:val="00225F5A"/>
    <w:rsid w:val="002312C1"/>
    <w:rsid w:val="00277601"/>
    <w:rsid w:val="002833D7"/>
    <w:rsid w:val="002D654F"/>
    <w:rsid w:val="003102D4"/>
    <w:rsid w:val="00367873"/>
    <w:rsid w:val="00374371"/>
    <w:rsid w:val="00390C3F"/>
    <w:rsid w:val="003B5CE5"/>
    <w:rsid w:val="003C4F35"/>
    <w:rsid w:val="003C6144"/>
    <w:rsid w:val="00401FDE"/>
    <w:rsid w:val="0042484F"/>
    <w:rsid w:val="00432AFC"/>
    <w:rsid w:val="0043339B"/>
    <w:rsid w:val="004356AA"/>
    <w:rsid w:val="004B50AA"/>
    <w:rsid w:val="004B702F"/>
    <w:rsid w:val="004C17A5"/>
    <w:rsid w:val="004C255B"/>
    <w:rsid w:val="004D22D4"/>
    <w:rsid w:val="004D40C0"/>
    <w:rsid w:val="004F5B33"/>
    <w:rsid w:val="00503114"/>
    <w:rsid w:val="005079B0"/>
    <w:rsid w:val="00522A71"/>
    <w:rsid w:val="00522FF3"/>
    <w:rsid w:val="005263B9"/>
    <w:rsid w:val="00534A73"/>
    <w:rsid w:val="005400B7"/>
    <w:rsid w:val="0055473C"/>
    <w:rsid w:val="00557292"/>
    <w:rsid w:val="00575AE9"/>
    <w:rsid w:val="005A1A53"/>
    <w:rsid w:val="005C0DDA"/>
    <w:rsid w:val="005E4DC6"/>
    <w:rsid w:val="00625FA2"/>
    <w:rsid w:val="00643428"/>
    <w:rsid w:val="00671E60"/>
    <w:rsid w:val="00683F90"/>
    <w:rsid w:val="006926E0"/>
    <w:rsid w:val="006A6B98"/>
    <w:rsid w:val="006B5EF7"/>
    <w:rsid w:val="006C7B36"/>
    <w:rsid w:val="006D10EB"/>
    <w:rsid w:val="006D2A3A"/>
    <w:rsid w:val="006E2813"/>
    <w:rsid w:val="006E4D85"/>
    <w:rsid w:val="006F382B"/>
    <w:rsid w:val="00707BC4"/>
    <w:rsid w:val="007156E0"/>
    <w:rsid w:val="00716AE0"/>
    <w:rsid w:val="0076166F"/>
    <w:rsid w:val="0077439C"/>
    <w:rsid w:val="00784B57"/>
    <w:rsid w:val="00786479"/>
    <w:rsid w:val="00791BAB"/>
    <w:rsid w:val="007B05CD"/>
    <w:rsid w:val="007B0D02"/>
    <w:rsid w:val="007C7B79"/>
    <w:rsid w:val="007F516A"/>
    <w:rsid w:val="00801D30"/>
    <w:rsid w:val="008176B6"/>
    <w:rsid w:val="008565C4"/>
    <w:rsid w:val="00872007"/>
    <w:rsid w:val="008D0A34"/>
    <w:rsid w:val="008E6369"/>
    <w:rsid w:val="008F67B9"/>
    <w:rsid w:val="009506B6"/>
    <w:rsid w:val="009672E3"/>
    <w:rsid w:val="009911D0"/>
    <w:rsid w:val="009A0005"/>
    <w:rsid w:val="009C5159"/>
    <w:rsid w:val="009C68F7"/>
    <w:rsid w:val="009D35F9"/>
    <w:rsid w:val="009D5B78"/>
    <w:rsid w:val="00A12138"/>
    <w:rsid w:val="00A12778"/>
    <w:rsid w:val="00A673F0"/>
    <w:rsid w:val="00AB69D6"/>
    <w:rsid w:val="00AD4D79"/>
    <w:rsid w:val="00AE4F71"/>
    <w:rsid w:val="00AF0BEF"/>
    <w:rsid w:val="00B166EB"/>
    <w:rsid w:val="00B25792"/>
    <w:rsid w:val="00B26D16"/>
    <w:rsid w:val="00B4659B"/>
    <w:rsid w:val="00B47E6D"/>
    <w:rsid w:val="00B54E89"/>
    <w:rsid w:val="00B81007"/>
    <w:rsid w:val="00BC676E"/>
    <w:rsid w:val="00BE131E"/>
    <w:rsid w:val="00C000E1"/>
    <w:rsid w:val="00C11A9A"/>
    <w:rsid w:val="00C14F2A"/>
    <w:rsid w:val="00C57A8F"/>
    <w:rsid w:val="00C6604B"/>
    <w:rsid w:val="00C67253"/>
    <w:rsid w:val="00C87265"/>
    <w:rsid w:val="00C95C3E"/>
    <w:rsid w:val="00CA4977"/>
    <w:rsid w:val="00CE7876"/>
    <w:rsid w:val="00D101F8"/>
    <w:rsid w:val="00D1260F"/>
    <w:rsid w:val="00D17741"/>
    <w:rsid w:val="00D5549D"/>
    <w:rsid w:val="00DC6DC0"/>
    <w:rsid w:val="00DD10B8"/>
    <w:rsid w:val="00DD1777"/>
    <w:rsid w:val="00DF5F80"/>
    <w:rsid w:val="00E439CA"/>
    <w:rsid w:val="00E50CDF"/>
    <w:rsid w:val="00E5142A"/>
    <w:rsid w:val="00EB1AA4"/>
    <w:rsid w:val="00EB489E"/>
    <w:rsid w:val="00EB6678"/>
    <w:rsid w:val="00ED141C"/>
    <w:rsid w:val="00ED191E"/>
    <w:rsid w:val="00ED3EC6"/>
    <w:rsid w:val="00F0363D"/>
    <w:rsid w:val="00F13D38"/>
    <w:rsid w:val="00F27EFD"/>
    <w:rsid w:val="00F456BF"/>
    <w:rsid w:val="00F50D7A"/>
    <w:rsid w:val="00F51BD2"/>
    <w:rsid w:val="00FB17BC"/>
    <w:rsid w:val="00FD4302"/>
    <w:rsid w:val="00FF52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AE25B1F"/>
  <w14:defaultImageDpi w14:val="300"/>
  <w15:docId w15:val="{67F71F4A-B933-4101-AA4A-F3645462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KopfzeileZchn">
    <w:name w:val="Kopfzeile Zchn"/>
    <w:basedOn w:val="Absatz-Standardschriftart"/>
    <w:link w:val="Kopfzeile"/>
    <w:uiPriority w:val="99"/>
    <w:rsid w:val="004B50AA"/>
    <w:rPr>
      <w:rFonts w:ascii="Calibri" w:eastAsia="Calibri" w:hAnsi="Calibri" w:cs="Times New Roman"/>
      <w:sz w:val="22"/>
      <w:szCs w:val="22"/>
      <w:lang w:val="fr-FR" w:eastAsia="en-US"/>
    </w:rPr>
  </w:style>
  <w:style w:type="paragraph" w:styleId="Fuzeile">
    <w:name w:val="footer"/>
    <w:basedOn w:val="Standard"/>
    <w:link w:val="FuzeileZchn"/>
    <w:uiPriority w:val="99"/>
    <w:unhideWhenUsed/>
    <w:rsid w:val="004B50AA"/>
    <w:pPr>
      <w:tabs>
        <w:tab w:val="center" w:pos="4536"/>
        <w:tab w:val="right" w:pos="9072"/>
      </w:tabs>
    </w:pPr>
    <w:rPr>
      <w:rFonts w:ascii="Calibri" w:eastAsia="Calibri" w:hAnsi="Calibri" w:cs="Times New Roman"/>
      <w:sz w:val="22"/>
      <w:szCs w:val="22"/>
      <w:lang w:eastAsia="en-US"/>
    </w:rPr>
  </w:style>
  <w:style w:type="character" w:customStyle="1" w:styleId="FuzeileZchn">
    <w:name w:val="Fußzeile Zchn"/>
    <w:basedOn w:val="Absatz-Standardschriftart"/>
    <w:link w:val="Fuzeile"/>
    <w:uiPriority w:val="99"/>
    <w:rsid w:val="004B50AA"/>
    <w:rPr>
      <w:rFonts w:ascii="Calibri" w:eastAsia="Calibri" w:hAnsi="Calibri" w:cs="Times New Roman"/>
      <w:sz w:val="22"/>
      <w:szCs w:val="22"/>
      <w:lang w:val="fr-FR" w:eastAsia="en-US"/>
    </w:rPr>
  </w:style>
  <w:style w:type="paragraph" w:styleId="Sprechblasentext">
    <w:name w:val="Balloon Text"/>
    <w:basedOn w:val="Standard"/>
    <w:link w:val="SprechblasentextZchn"/>
    <w:uiPriority w:val="99"/>
    <w:semiHidden/>
    <w:unhideWhenUsed/>
    <w:rsid w:val="004B50AA"/>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B50AA"/>
    <w:rPr>
      <w:rFonts w:ascii="Tahoma" w:eastAsia="Calibri" w:hAnsi="Tahoma" w:cs="Tahoma"/>
      <w:sz w:val="16"/>
      <w:szCs w:val="16"/>
      <w:lang w:val="fr-FR" w:eastAsia="en-US"/>
    </w:rPr>
  </w:style>
  <w:style w:type="character" w:styleId="Hyperlink">
    <w:name w:val="Hyperlink"/>
    <w:uiPriority w:val="99"/>
    <w:unhideWhenUsed/>
    <w:rsid w:val="004B50AA"/>
    <w:rPr>
      <w:color w:val="0000FF"/>
      <w:u w:val="single"/>
    </w:rPr>
  </w:style>
  <w:style w:type="character" w:styleId="Platzhaltertext">
    <w:name w:val="Placeholder Text"/>
    <w:uiPriority w:val="99"/>
    <w:semiHidden/>
    <w:rsid w:val="004B50AA"/>
    <w:rPr>
      <w:color w:val="808080"/>
    </w:rPr>
  </w:style>
  <w:style w:type="paragraph" w:customStyle="1" w:styleId="Normal">
    <w:name w:val="[Normal]"/>
    <w:uiPriority w:val="99"/>
    <w:rsid w:val="004B50AA"/>
    <w:pPr>
      <w:widowControl w:val="0"/>
      <w:autoSpaceDE w:val="0"/>
      <w:autoSpaceDN w:val="0"/>
      <w:adjustRightInd w:val="0"/>
    </w:pPr>
    <w:rPr>
      <w:rFonts w:ascii="Arial" w:eastAsia="Calibri" w:hAnsi="Arial" w:cs="Arial"/>
      <w:lang w:eastAsia="de-DE"/>
    </w:rPr>
  </w:style>
  <w:style w:type="paragraph" w:styleId="NurText">
    <w:name w:val="Plain Text"/>
    <w:basedOn w:val="Standard"/>
    <w:link w:val="NurTextZchn"/>
    <w:uiPriority w:val="99"/>
    <w:rsid w:val="004B50AA"/>
    <w:pPr>
      <w:widowControl w:val="0"/>
      <w:autoSpaceDE w:val="0"/>
      <w:autoSpaceDN w:val="0"/>
      <w:adjustRightInd w:val="0"/>
    </w:pPr>
    <w:rPr>
      <w:rFonts w:ascii="Courier New" w:eastAsia="Calibri" w:hAnsi="Courier New" w:cs="Courier New"/>
      <w:sz w:val="20"/>
      <w:szCs w:val="20"/>
      <w:lang w:eastAsia="de-DE"/>
    </w:rPr>
  </w:style>
  <w:style w:type="character" w:customStyle="1" w:styleId="NurTextZchn">
    <w:name w:val="Nur Text Zchn"/>
    <w:basedOn w:val="Absatz-Standardschriftart"/>
    <w:link w:val="NurText"/>
    <w:uiPriority w:val="99"/>
    <w:rsid w:val="004B50AA"/>
    <w:rPr>
      <w:rFonts w:ascii="Courier New" w:eastAsia="Calibri" w:hAnsi="Courier New" w:cs="Courier New"/>
      <w:sz w:val="20"/>
      <w:szCs w:val="20"/>
      <w:lang w:val="fr-FR" w:eastAsia="de-DE"/>
    </w:rPr>
  </w:style>
  <w:style w:type="numbering" w:customStyle="1" w:styleId="KeineListe1">
    <w:name w:val="Keine Liste1"/>
    <w:next w:val="KeineListe"/>
    <w:uiPriority w:val="99"/>
    <w:semiHidden/>
    <w:unhideWhenUsed/>
    <w:rsid w:val="004B50AA"/>
  </w:style>
  <w:style w:type="paragraph" w:customStyle="1" w:styleId="BODY">
    <w:name w:val="BODY"/>
    <w:basedOn w:val="Normal"/>
    <w:uiPriority w:val="99"/>
    <w:rsid w:val="004B50AA"/>
    <w:pPr>
      <w:widowControl/>
    </w:pPr>
    <w:rPr>
      <w:rFonts w:ascii="Arialpt" w:hAnsi="Arialpt" w:cs="Arialpt"/>
      <w:sz w:val="20"/>
      <w:szCs w:val="20"/>
    </w:rPr>
  </w:style>
  <w:style w:type="paragraph" w:customStyle="1" w:styleId="P">
    <w:name w:val="P"/>
    <w:basedOn w:val="BODY"/>
    <w:uiPriority w:val="99"/>
    <w:rsid w:val="004B50AA"/>
    <w:pPr>
      <w:tabs>
        <w:tab w:val="left" w:pos="0"/>
      </w:tabs>
      <w:ind w:right="6220"/>
    </w:pPr>
    <w:rPr>
      <w:rFonts w:ascii="Arial" w:hAnsi="Arial" w:cs="Arial"/>
    </w:rPr>
  </w:style>
  <w:style w:type="character" w:customStyle="1" w:styleId="B">
    <w:name w:val="B"/>
    <w:uiPriority w:val="99"/>
    <w:rsid w:val="004B50AA"/>
    <w:rPr>
      <w:b/>
      <w:bCs/>
    </w:rPr>
  </w:style>
  <w:style w:type="paragraph" w:styleId="StandardWeb">
    <w:name w:val="Normal (Web)"/>
    <w:basedOn w:val="Standard"/>
    <w:uiPriority w:val="99"/>
    <w:unhideWhenUsed/>
    <w:rsid w:val="004B50AA"/>
    <w:pPr>
      <w:spacing w:before="100" w:beforeAutospacing="1" w:after="100" w:afterAutospacing="1"/>
    </w:pPr>
    <w:rPr>
      <w:rFonts w:ascii="Times New Roman" w:eastAsia="Times New Roman" w:hAnsi="Times New Roman" w:cs="Times New Roman"/>
      <w:lang w:eastAsia="de-DE"/>
    </w:rPr>
  </w:style>
  <w:style w:type="character" w:styleId="Kommentarzeichen">
    <w:name w:val="annotation reference"/>
    <w:uiPriority w:val="99"/>
    <w:semiHidden/>
    <w:unhideWhenUsed/>
    <w:rsid w:val="004B50AA"/>
    <w:rPr>
      <w:sz w:val="16"/>
      <w:szCs w:val="16"/>
    </w:rPr>
  </w:style>
  <w:style w:type="paragraph" w:styleId="Kommentartext">
    <w:name w:val="annotation text"/>
    <w:basedOn w:val="Standard"/>
    <w:link w:val="KommentartextZchn"/>
    <w:uiPriority w:val="99"/>
    <w:semiHidden/>
    <w:unhideWhenUsed/>
    <w:rsid w:val="004B50AA"/>
    <w:rPr>
      <w:rFonts w:ascii="Calibri" w:eastAsia="Calibr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4B50AA"/>
    <w:rPr>
      <w:rFonts w:ascii="Calibri" w:eastAsia="Calibri" w:hAnsi="Calibri" w:cs="Times New Roman"/>
      <w:sz w:val="20"/>
      <w:szCs w:val="20"/>
      <w:lang w:val="fr-FR" w:eastAsia="en-US"/>
    </w:rPr>
  </w:style>
  <w:style w:type="paragraph" w:styleId="Kommentarthema">
    <w:name w:val="annotation subject"/>
    <w:basedOn w:val="Kommentartext"/>
    <w:next w:val="Kommentartext"/>
    <w:link w:val="KommentarthemaZchn"/>
    <w:uiPriority w:val="99"/>
    <w:semiHidden/>
    <w:unhideWhenUsed/>
    <w:rsid w:val="004B50AA"/>
    <w:rPr>
      <w:b/>
      <w:bCs/>
    </w:rPr>
  </w:style>
  <w:style w:type="character" w:customStyle="1" w:styleId="KommentarthemaZchn">
    <w:name w:val="Kommentarthema Zchn"/>
    <w:basedOn w:val="KommentartextZchn"/>
    <w:link w:val="Kommentarthema"/>
    <w:uiPriority w:val="99"/>
    <w:semiHidden/>
    <w:rsid w:val="004B50AA"/>
    <w:rPr>
      <w:rFonts w:ascii="Calibri" w:eastAsia="Calibri" w:hAnsi="Calibri" w:cs="Times New Roman"/>
      <w:b/>
      <w:bCs/>
      <w:sz w:val="20"/>
      <w:szCs w:val="20"/>
      <w:lang w:val="fr-FR" w:eastAsia="en-US"/>
    </w:rPr>
  </w:style>
  <w:style w:type="paragraph" w:styleId="berarbeitung">
    <w:name w:val="Revision"/>
    <w:hidden/>
    <w:uiPriority w:val="71"/>
    <w:rsid w:val="004B50AA"/>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f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1584</Words>
  <Characters>9985</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XXL Communication</Company>
  <LinksUpToDate>false</LinksUpToDate>
  <CharactersWithSpaces>11546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F. LORRE</dc:creator>
  <cp:keywords/>
  <dc:description/>
  <cp:lastModifiedBy>Klaus Fabian</cp:lastModifiedBy>
  <cp:revision>96</cp:revision>
  <cp:lastPrinted>2018-07-23T11:58:00Z</cp:lastPrinted>
  <dcterms:created xsi:type="dcterms:W3CDTF">2018-07-07T12:26:00Z</dcterms:created>
  <dcterms:modified xsi:type="dcterms:W3CDTF">2018-07-23T11:58:00Z</dcterms:modified>
</cp:coreProperties>
</file>